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color w:val="000000"/>
          <w:sz w:val="32"/>
          <w:rtl w:val="0"/>
        </w:rPr>
        <w:t xml:space="preserve">International Society for First World War Studies Conference, 2015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color w:val="000000"/>
          <w:rtl w:val="0"/>
        </w:rPr>
        <w:t xml:space="preserve">Trento e Padova (Italia), 10-12 settembre 2015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color w:val="000000"/>
          <w:sz w:val="28"/>
          <w:rtl w:val="0"/>
        </w:rPr>
        <w:t xml:space="preserve">Paesaggi di guerra: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color w:val="000000"/>
          <w:sz w:val="28"/>
          <w:rtl w:val="0"/>
        </w:rPr>
        <w:t xml:space="preserve">immagini, rappresentazioni, esperienze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color w:val="000000"/>
          <w:rtl w:val="0"/>
        </w:rPr>
        <w:t xml:space="preserve">L’ 8° convegno internazionale dell’</w:t>
      </w:r>
      <w:r w:rsidRPr="00000000" w:rsidR="00000000" w:rsidDel="00000000">
        <w:rPr>
          <w:b w:val="1"/>
          <w:color w:val="000000"/>
          <w:rtl w:val="0"/>
        </w:rPr>
        <w:t xml:space="preserve">International Society for First World War Studies</w:t>
      </w:r>
      <w:r w:rsidRPr="00000000" w:rsidR="00000000" w:rsidDel="00000000">
        <w:rPr>
          <w:color w:val="000000"/>
          <w:rtl w:val="0"/>
        </w:rPr>
        <w:t xml:space="preserve"> sarà dedicato al tema “Paesaggi di guerra”. 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color w:val="000000"/>
          <w:rtl w:val="0"/>
        </w:rPr>
        <w:t xml:space="preserve">La storiografia degli ultimi anni ha mostrato l’importanza e le potenzialità di una storia globale della Grande Guerra, capace di guardare al conflitto nel suo insieme, alla sua estensione geografica e quindi alle diversità degli scenari di guerra, dalle Fiandre al Caucaso, dalle Alpi all’Africa orientale, dal Mediterraneo agli Oceani.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color w:val="000000"/>
          <w:rtl w:val="0"/>
        </w:rPr>
        <w:t xml:space="preserve">La conferenza ha l’obiettivo di dare risalto agli spazi fisici in cui il conflitto ebbe luogo nei diversi teatri di guerra, e di identificare le forme in cui questi paesaggi furono affrontati, modificati, immaginati, esperiti, rappresentati e ricordati. Quale impatto ebbero le caratteristiche fisiche dei diversi campi di battaglia sulle strategie belliche e le manovre militari?   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color w:val="000000"/>
          <w:rtl w:val="0"/>
        </w:rPr>
        <w:t xml:space="preserve">In che modo uomini, donne, bambini e vecchi, generali, soldati e prigionieri, operai e contadini, giornalisti, artisti e insegnanti, popolazioni occupate, architetti e turisti interagirono con i paesaggi della guerra?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color w:val="000000"/>
          <w:rtl w:val="0"/>
        </w:rPr>
        <w:t xml:space="preserve">In quale modo, oggigiorno, lo studio del paesaggio può accrescere la nostra comprensione della storia militare, politica, sociale, economica e culturale del conflitto?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color w:val="000000"/>
          <w:rtl w:val="0"/>
        </w:rPr>
        <w:t xml:space="preserve">Il programma dei lavori sarà articolato in tre giornate, con la prima e la terza dedicate alla presentazione e alla discussione dei contributi scientifici, mentre la seconda sarà interamente dedicata alla visita dell’Altopiano di Asiago – dove il </w:t>
      </w:r>
      <w:r w:rsidRPr="00000000" w:rsidR="00000000" w:rsidDel="00000000">
        <w:rPr>
          <w:i w:val="1"/>
          <w:color w:val="000000"/>
          <w:rtl w:val="0"/>
        </w:rPr>
        <w:t xml:space="preserve">keynote speaker</w:t>
      </w:r>
      <w:r w:rsidRPr="00000000" w:rsidR="00000000" w:rsidDel="00000000">
        <w:rPr>
          <w:color w:val="000000"/>
          <w:rtl w:val="0"/>
        </w:rPr>
        <w:t xml:space="preserve"> terrà il suo discorso –, nell’intento di accompagnare i partecipanti al contatto diretto con uno dei paesaggi di guerra più rappresentativi.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color w:val="000000"/>
          <w:rtl w:val="0"/>
        </w:rPr>
        <w:t xml:space="preserve">Secondo la tradizione dell’</w:t>
      </w:r>
      <w:r w:rsidRPr="00000000" w:rsidR="00000000" w:rsidDel="00000000">
        <w:rPr>
          <w:b w:val="1"/>
          <w:color w:val="000000"/>
          <w:rtl w:val="0"/>
        </w:rPr>
        <w:t xml:space="preserve">International Society for First World War Studies</w:t>
      </w:r>
      <w:r w:rsidRPr="00000000" w:rsidR="00000000" w:rsidDel="00000000">
        <w:rPr>
          <w:color w:val="000000"/>
          <w:rtl w:val="0"/>
        </w:rPr>
        <w:t xml:space="preserve">, la conferenza si propone di valorizzare ricerche originali e innovative riunendo dottorandi e post-dottorandi con accademici affermati. La Society persegue l’obiettivo di promuovere il dialogo tra storiche e storici che impiegano diversi approcci metodologici e provengono da differenti aree geografiche.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color w:val="000000"/>
          <w:rtl w:val="0"/>
        </w:rPr>
        <w:t xml:space="preserve">Possibili temi sono: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spacing w:lineRule="auto" w:after="0" w:line="240" w:before="0"/>
        <w:ind w:left="720" w:hanging="359"/>
        <w:contextualSpacing w:val="1"/>
        <w:jc w:val="both"/>
        <w:rPr>
          <w:b w:val="0"/>
          <w:color w:val="00000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rtl w:val="0"/>
        </w:rPr>
        <w:t xml:space="preserve">l’impatto militare e operativo del terreno di guerra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spacing w:lineRule="auto" w:after="0" w:line="240" w:before="0"/>
        <w:ind w:left="720" w:hanging="359"/>
        <w:contextualSpacing w:val="1"/>
        <w:jc w:val="both"/>
        <w:rPr>
          <w:b w:val="0"/>
          <w:color w:val="00000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rtl w:val="0"/>
        </w:rPr>
        <w:t xml:space="preserve">i diversi paesaggi di guerra: dalle montagne al deserto, dagli altipiani al mare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spacing w:lineRule="auto" w:after="0" w:line="240" w:before="0"/>
        <w:ind w:left="720" w:hanging="359"/>
        <w:contextualSpacing w:val="1"/>
        <w:jc w:val="both"/>
        <w:rPr>
          <w:b w:val="0"/>
          <w:color w:val="00000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rtl w:val="0"/>
        </w:rPr>
        <w:t xml:space="preserve">alterazione, inquinamento e distruzione di paesaggi a causa dell’intervento umano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spacing w:lineRule="auto" w:after="0" w:line="240" w:before="0"/>
        <w:ind w:left="720" w:hanging="359"/>
        <w:contextualSpacing w:val="1"/>
        <w:jc w:val="both"/>
        <w:rPr>
          <w:b w:val="0"/>
          <w:color w:val="00000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rtl w:val="0"/>
        </w:rPr>
        <w:t xml:space="preserve">panorami cittadini e paesaggi urbani durante e dopo la guerra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spacing w:lineRule="auto" w:after="0" w:line="240" w:before="0"/>
        <w:ind w:left="720" w:hanging="359"/>
        <w:contextualSpacing w:val="1"/>
        <w:jc w:val="both"/>
        <w:rPr>
          <w:b w:val="0"/>
          <w:color w:val="00000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rtl w:val="0"/>
        </w:rPr>
        <w:t xml:space="preserve">prigionieri di guerra e paesaggi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spacing w:lineRule="auto" w:after="0" w:line="240" w:before="0"/>
        <w:ind w:left="720" w:hanging="359"/>
        <w:contextualSpacing w:val="1"/>
        <w:jc w:val="both"/>
        <w:rPr>
          <w:b w:val="0"/>
          <w:color w:val="00000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rtl w:val="0"/>
        </w:rPr>
        <w:t xml:space="preserve">paesaggi di guerra immaginati, descritti e raffigurati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spacing w:lineRule="auto" w:after="0" w:line="240" w:before="0"/>
        <w:ind w:left="720" w:hanging="359"/>
        <w:contextualSpacing w:val="1"/>
        <w:jc w:val="both"/>
        <w:rPr>
          <w:b w:val="0"/>
          <w:color w:val="00000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rtl w:val="0"/>
        </w:rPr>
        <w:t xml:space="preserve">lo studio del paesaggio: cartografia, geografia e scienze naturali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spacing w:lineRule="auto" w:after="0" w:line="240" w:before="0"/>
        <w:ind w:left="720" w:hanging="359"/>
        <w:contextualSpacing w:val="1"/>
        <w:jc w:val="both"/>
        <w:rPr>
          <w:b w:val="0"/>
          <w:color w:val="00000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rtl w:val="0"/>
        </w:rPr>
        <w:t xml:space="preserve">paesaggi di guerra nelle retrovie: aree di transito e riposo, campi di addestramento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spacing w:lineRule="auto" w:after="0" w:line="240" w:before="0"/>
        <w:ind w:left="720" w:hanging="359"/>
        <w:contextualSpacing w:val="1"/>
        <w:jc w:val="both"/>
        <w:rPr>
          <w:b w:val="0"/>
          <w:color w:val="00000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rtl w:val="0"/>
        </w:rPr>
        <w:t xml:space="preserve">paesaggi dopo la battaglia: rovine, tracce, memorie e ricostruzione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spacing w:lineRule="auto" w:after="0" w:line="240" w:before="0"/>
        <w:ind w:left="720" w:hanging="359"/>
        <w:contextualSpacing w:val="1"/>
        <w:jc w:val="both"/>
        <w:rPr>
          <w:b w:val="0"/>
          <w:color w:val="00000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rtl w:val="0"/>
        </w:rPr>
        <w:t xml:space="preserve">turismo sui campi di battaglia e patrimonio culturale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spacing w:lineRule="auto" w:after="0" w:line="240" w:before="0"/>
        <w:ind w:left="720" w:hanging="359"/>
        <w:contextualSpacing w:val="1"/>
        <w:jc w:val="both"/>
        <w:rPr>
          <w:b w:val="0"/>
          <w:color w:val="00000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rtl w:val="0"/>
        </w:rPr>
        <w:t xml:space="preserve">paesaggi e nazione: legami reali e immaginari tra territorio e nazionalità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spacing w:lineRule="auto" w:after="0" w:line="240" w:before="0"/>
        <w:ind w:left="720" w:hanging="359"/>
        <w:contextualSpacing w:val="1"/>
        <w:jc w:val="both"/>
        <w:rPr>
          <w:b w:val="0"/>
          <w:color w:val="000000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rtl w:val="0"/>
        </w:rPr>
        <w:t xml:space="preserve">il paesaggio produttivo: agricoltura e produzione bellica, distribuzione delle risorse, privazioni e conflitti per il cibo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color w:val="000000"/>
          <w:rtl w:val="0"/>
        </w:rPr>
        <w:t xml:space="preserve">Per avvalersi il più possibile del tempo destinato alla discussione, tutti gli interventi saranno circolati in precedenza, per poi essere, prima, commentati da un </w:t>
      </w:r>
      <w:r w:rsidRPr="00000000" w:rsidR="00000000" w:rsidDel="00000000">
        <w:rPr>
          <w:i w:val="1"/>
          <w:color w:val="000000"/>
          <w:rtl w:val="0"/>
        </w:rPr>
        <w:t xml:space="preserve">discussant</w:t>
      </w:r>
      <w:r w:rsidRPr="00000000" w:rsidR="00000000" w:rsidDel="00000000">
        <w:rPr>
          <w:color w:val="000000"/>
          <w:rtl w:val="0"/>
        </w:rPr>
        <w:t xml:space="preserve"> e, infine, oggetto di confronto con tutto l’uditorio.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color w:val="000000"/>
          <w:rtl w:val="0"/>
        </w:rPr>
        <w:t xml:space="preserve">Gli interventi scritti possono essere proposti in inglese, italiano, francese e tedesco, ma i lavori si svolgeranno in inglese e italiano, con l’ausilio della traduzione simultanea. I partecipanti che presenteranno </w:t>
      </w:r>
      <w:r w:rsidRPr="00000000" w:rsidR="00000000" w:rsidDel="00000000">
        <w:rPr>
          <w:i w:val="1"/>
          <w:color w:val="000000"/>
          <w:rtl w:val="0"/>
        </w:rPr>
        <w:t xml:space="preserve">paper</w:t>
      </w:r>
      <w:r w:rsidRPr="00000000" w:rsidR="00000000" w:rsidDel="00000000">
        <w:rPr>
          <w:color w:val="000000"/>
          <w:rtl w:val="0"/>
        </w:rPr>
        <w:t xml:space="preserve"> in lingue diverse dall’inglese </w:t>
      </w:r>
      <w:r w:rsidRPr="00000000" w:rsidR="00000000" w:rsidDel="00000000">
        <w:rPr>
          <w:strike w:val="1"/>
          <w:color w:val="000000"/>
          <w:rtl w:val="0"/>
        </w:rPr>
        <w:t xml:space="preserve">e</w:t>
      </w:r>
      <w:r w:rsidRPr="00000000" w:rsidR="00000000" w:rsidDel="00000000">
        <w:rPr>
          <w:color w:val="000000"/>
          <w:rtl w:val="0"/>
        </w:rPr>
        <w:t xml:space="preserve"> o dall’italiano dovranno inviare anche un riassunto essenziale dell’intervento di tre pagine. Come negli anni precedenti, una selezione degli interventi sarà pubblicata in seguito in inglese.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bookmarkStart w:id="0" w:colFirst="0" w:name="h.gjdgxs" w:colLast="0"/>
      <w:bookmarkEnd w:id="0"/>
      <w:r w:rsidRPr="00000000" w:rsidR="00000000" w:rsidDel="00000000">
        <w:rPr>
          <w:color w:val="000000"/>
          <w:rtl w:val="0"/>
        </w:rPr>
        <w:t xml:space="preserve">Coloro che sono interessati/e a partecipare devono inviare un </w:t>
      </w:r>
      <w:r w:rsidRPr="00000000" w:rsidR="00000000" w:rsidDel="00000000">
        <w:rPr>
          <w:i w:val="1"/>
          <w:color w:val="000000"/>
          <w:rtl w:val="0"/>
        </w:rPr>
        <w:t xml:space="preserve">abstract</w:t>
      </w:r>
      <w:r w:rsidRPr="00000000" w:rsidR="00000000" w:rsidDel="00000000">
        <w:rPr>
          <w:color w:val="000000"/>
          <w:rtl w:val="0"/>
        </w:rPr>
        <w:t xml:space="preserve"> di 300 parole in inglese o italiano, accompagnato da un breve CV entro il 30 </w:t>
      </w:r>
      <w:r w:rsidRPr="00000000" w:rsidR="00000000" w:rsidDel="00000000">
        <w:rPr>
          <w:rtl w:val="0"/>
        </w:rPr>
        <w:t xml:space="preserve">novembre</w:t>
      </w:r>
      <w:r w:rsidRPr="00000000" w:rsidR="00000000" w:rsidDel="00000000">
        <w:rPr>
          <w:color w:val="000000"/>
          <w:rtl w:val="0"/>
        </w:rPr>
        <w:t xml:space="preserve"> 2014 al seguente indirizzo email: </w:t>
      </w:r>
      <w:hyperlink r:id="rId5">
        <w:r w:rsidRPr="00000000" w:rsidR="00000000" w:rsidDel="00000000">
          <w:rPr>
            <w:b w:val="1"/>
            <w:color w:val="000000"/>
            <w:u w:val="single"/>
            <w:rtl w:val="0"/>
          </w:rPr>
          <w:t xml:space="preserve">landscapesofwar@gmail.com</w:t>
        </w:r>
      </w:hyperlink>
      <w:r w:rsidRPr="00000000" w:rsidR="00000000" w:rsidDel="00000000">
        <w:rPr>
          <w:rtl w:val="0"/>
        </w:rPr>
        <w:t xml:space="preserve">. 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  <w:t xml:space="preserve">Le studiose e gli studiosi selezionati saranno avvertiti entro gennaio 2015 e dovranno poi inviare il loro intervento scritto entro il 30 giugno 2015.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color w:val="000000"/>
          <w:rtl w:val="0"/>
        </w:rPr>
        <w:t xml:space="preserve">Il primo giorno della conferenza si svolgerà presso la Fondazione Bruno Kessler, a Trento, e il terzo giorno presso l’Università di Padova, con trasferimento in bus durante il giorno intermedio attraverso l’Altopiano di Asiago. Il trasferimento sarà gratuito per tutti/e i/le partecipanti registrati/e. I</w:t>
      </w:r>
      <w:r w:rsidRPr="00000000" w:rsidR="00000000" w:rsidDel="00000000">
        <w:rPr>
          <w:rtl w:val="0"/>
        </w:rPr>
        <w:t xml:space="preserve">nformazioni concernenti la sistemazione a Trento (per la prima notte) e a Padova (per la seconda) saranno fatte circolare tra gli/le iscritti/e alla conferenza a partire da gennaio 2015.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color w:val="000000"/>
          <w:rtl w:val="0"/>
        </w:rPr>
        <w:t xml:space="preserve">Un numero limitato di rimborsi per spese di viaggio e soggiorno saranno verosimilmente disponibili per ricercatrici e ricercatori che non usufruiscono di alcun finanziamento da parte delle istituzioni di appartenenza/affiliazione. S’invita a rendere nota tale esigenza al momento della presentazione della proposta d’intervento.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color w:val="000000"/>
          <w:rtl w:val="0"/>
        </w:rPr>
        <w:t xml:space="preserve">Per ulteriori informazioni, si prega di rivolgersi all’indirizzo email </w:t>
      </w:r>
      <w:hyperlink r:id="rId6">
        <w:r w:rsidRPr="00000000" w:rsidR="00000000" w:rsidDel="00000000">
          <w:rPr>
            <w:color w:val="000000"/>
            <w:u w:val="single"/>
            <w:rtl w:val="0"/>
          </w:rPr>
          <w:t xml:space="preserve">landscapesofwar@gmail.com</w:t>
        </w:r>
      </w:hyperlink>
      <w:hyperlink r:id="rId7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contextualSpacing w:val="0"/>
      </w:pPr>
      <w:hyperlink r:id="rId8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contextualSpacing w:val="0"/>
      </w:pPr>
      <w:hyperlink r:id="rId9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contextualSpacing w:val="0"/>
      </w:pPr>
      <w:hyperlink r:id="rId10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Comitato organizzatore: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Roberto Bianchi (Università degli Studi di Firenze)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Selena Daly (University College Dublin)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Marco Mondini (Fondazione Bruno Kessler Trento, Università degli Studi di Padova)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Martina Salvante (Centro interuniversitario di studi e ricerche storico-militari)</w:t>
      </w:r>
    </w:p>
    <w:p w:rsidP="00000000" w:rsidRPr="00000000" w:rsidR="00000000" w:rsidDel="00000000" w:rsidRDefault="00000000">
      <w:pPr>
        <w:contextualSpacing w:val="0"/>
      </w:pPr>
      <w:bookmarkStart w:id="1" w:colFirst="0" w:name="h.30j0zll" w:colLast="0"/>
      <w:bookmarkEnd w:id="1"/>
      <w:r w:rsidRPr="00000000" w:rsidR="00000000" w:rsidDel="00000000">
        <w:rPr>
          <w:rtl w:val="0"/>
        </w:rPr>
        <w:t xml:space="preserve">Vanda Wilcox (John Cabot University, Roma).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1900" w:h="16840"/>
      <w:pgMar w:left="1800" w:right="180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919"/>
      <w:numFmt w:val="bullet"/>
      <w:lvlText w:val="-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0" w:line="240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mailto:landscapesofwar@gmail.com" Type="http://schemas.openxmlformats.org/officeDocument/2006/relationships/hyperlink" TargetMode="External" Id="rId10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ailto:landscapesofwar@gmail.com" Type="http://schemas.openxmlformats.org/officeDocument/2006/relationships/hyperlink" TargetMode="External" Id="rId9"/><Relationship Target="mailto:landscapesofwar@gmail.com" Type="http://schemas.openxmlformats.org/officeDocument/2006/relationships/hyperlink" TargetMode="External" Id="rId6"/><Relationship Target="mailto:landscapesofwar@gmail.com" Type="http://schemas.openxmlformats.org/officeDocument/2006/relationships/hyperlink" TargetMode="External" Id="rId5"/><Relationship Target="mailto:landscapesofwar@gmail.com" Type="http://schemas.openxmlformats.org/officeDocument/2006/relationships/hyperlink" TargetMode="External" Id="rId8"/><Relationship Target="mailto:landscapesofwar@gmail.com" Type="http://schemas.openxmlformats.org/officeDocument/2006/relationships/hyperlink" TargetMode="External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CfP ita_REV.docx</dc:title>
</cp:coreProperties>
</file>