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1"/>
          <w:color w:val="000000"/>
          <w:sz w:val="32"/>
          <w:vertAlign w:val="baseline"/>
          <w:rtl w:val="0"/>
        </w:rPr>
        <w:t xml:space="preserve">International Society for First World War Studies Conference, 2015</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1"/>
          <w:color w:val="000000"/>
          <w:sz w:val="24"/>
          <w:vertAlign w:val="baseline"/>
          <w:rtl w:val="0"/>
        </w:rPr>
        <w:t xml:space="preserve">Trente et Padoue (Italie), 10-12 septembre 2015</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center"/>
      </w:pPr>
      <w:r w:rsidRPr="00000000" w:rsidR="00000000" w:rsidDel="00000000">
        <w:rPr>
          <w:rFonts w:cs="Times New Roman" w:hAnsi="Times New Roman" w:eastAsia="Times New Roman" w:ascii="Times New Roman"/>
          <w:b w:val="1"/>
          <w:color w:val="000000"/>
          <w:sz w:val="28"/>
          <w:vertAlign w:val="baseline"/>
          <w:rtl w:val="0"/>
        </w:rPr>
        <w:t xml:space="preserve">Paysages de guerre: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center"/>
      </w:pPr>
      <w:r w:rsidRPr="00000000" w:rsidR="00000000" w:rsidDel="00000000">
        <w:rPr>
          <w:rFonts w:cs="Times New Roman" w:hAnsi="Times New Roman" w:eastAsia="Times New Roman" w:ascii="Times New Roman"/>
          <w:b w:val="1"/>
          <w:color w:val="000000"/>
          <w:sz w:val="28"/>
          <w:vertAlign w:val="baseline"/>
          <w:rtl w:val="0"/>
        </w:rPr>
        <w:t xml:space="preserve">images, représentations, expériences</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Le 8ème colloque international de l’International Society for First World War Studies sera consacré au thème des “Paysages de guerre”.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L’historiographie de ces dernières années a montré l’importance et les potentiels d’une histoire globale de la Grande Guerre, permettant d’envisager le conflit dans son ensemble, en tenant compte de son déploiement géographique et des diversités des lieux des combats, depuis les Flandres jusqu’au Caucase, des Alpes à l’Afrique orientale, de la Méditerranée aux Océans.</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La conférence a pour objectif de mettre en avant les espaces physiques où le conflit s’est déroulé et d’identifier la façon dont ces paysages ont été modifiés, imaginés, vécus, représentés et commémorés. Quel a été l’impact des caractéristiques géographiques des différents champs de bataille sur les stratégies de guerre et les manœuvres militaires ?</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Comment hommes, femmes, enfants, personnes âgées, généraux, soldats et prisonniers, ouvriers et paysans, journalistes, artiste et enseignants, populations occupées, architectes et touristes interagissent avec les paysages de la guerre ?</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Dans quelle mesure aujourd’hui l’étude des paysages peut-elle accroître notre compréhension de l’histoire politique, sociale, économique et culturelle du conflit?</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Le programme des travaux sera organisé autour de trois journées, la première et la troisième seront consacrées à la présentation et à la discussion des contribution scientifiques, tandis que la deuxième consistera en une visite des hauts plateaux d’Asiago – visite durant laquelle la parole sera donnée à un intervenant principal qui accompagnera les participants dans ce contact direct avec un paysages de guerre hautement significatif.</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Selon la tradition de l’International Society for First World War Studies, la conférence propose de valoriser des travaux de recherche originaux et novateurs permettant la rencontre entre doctorants, post-doctorants et spécialistes reconnus. La Society a pour objectif de promouvoir le dialogue entre historiennes et historiens utilisant diverses approches méthodologiques et provenant de différents pays.</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Les thèmes envisagés sont :</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L’impact militaire et l’action du champ de bataille</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Les différents paysages de guerre : de la montagne au désert, des hauts plateaux à la mer</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Altération, pollution et destruction des paysages dues à l’intervention humaine</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Panoramas citadins et paysages urbains pendant et après la guerre</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Prisonniers de guerre et paysages</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Paysages de guerre imaginés, décrits et représentés</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L’étude du paysage: cartographie, géographie et sciences naturelles</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Paysages de guerre derrière le front : zones de transit et de repos, camps d’entraînement</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Paysages après la bataille : ruines, traces, mémoires et reconstruction</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Tourisme sur les champs de bataille et patrimoine culturel</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Paysage et nation : liens réels et imaginaires entre territoire et nation</w:t>
      </w:r>
      <w:r w:rsidRPr="00000000" w:rsidR="00000000" w:rsidDel="00000000">
        <w:rPr>
          <w:rtl w:val="0"/>
        </w:rPr>
      </w:r>
    </w:p>
    <w:p w:rsidP="00000000" w:rsidRPr="00000000" w:rsidR="00000000" w:rsidDel="00000000" w:rsidRDefault="00000000">
      <w:pPr>
        <w:widowControl w:val="0"/>
        <w:numPr>
          <w:ilvl w:val="0"/>
          <w:numId w:val="1"/>
        </w:numPr>
        <w:spacing w:lineRule="auto" w:after="0" w:line="240" w:before="0"/>
        <w:ind w:left="720" w:hanging="359"/>
        <w:contextualSpacing w:val="1"/>
        <w:jc w:val="both"/>
        <w:rPr/>
      </w:pPr>
      <w:r w:rsidRPr="00000000" w:rsidR="00000000" w:rsidDel="00000000">
        <w:rPr>
          <w:rFonts w:cs="Times New Roman" w:hAnsi="Times New Roman" w:eastAsia="Times New Roman" w:ascii="Times New Roman"/>
          <w:b w:val="0"/>
          <w:color w:val="000000"/>
          <w:sz w:val="24"/>
          <w:vertAlign w:val="baseline"/>
          <w:rtl w:val="0"/>
        </w:rPr>
        <w:t xml:space="preserve">Le paysage productif : agriculture et production de guerre, distribution des ressources, privations et conflits autour de la nourriture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Afin de pouvoir profiter au mieux du temps consacré à l’échange et à la discussion, toutes les interventions auront préalablement été communiquées afin de pouvoir être, dans un premier temps, commentées par un </w:t>
      </w:r>
      <w:r w:rsidRPr="00000000" w:rsidR="00000000" w:rsidDel="00000000">
        <w:rPr>
          <w:rFonts w:cs="Times New Roman" w:hAnsi="Times New Roman" w:eastAsia="Times New Roman" w:ascii="Times New Roman"/>
          <w:b w:val="0"/>
          <w:i w:val="1"/>
          <w:color w:val="000000"/>
          <w:sz w:val="24"/>
          <w:vertAlign w:val="baseline"/>
          <w:rtl w:val="0"/>
        </w:rPr>
        <w:t xml:space="preserve">discussant</w:t>
      </w:r>
      <w:r w:rsidRPr="00000000" w:rsidR="00000000" w:rsidDel="00000000">
        <w:rPr>
          <w:rFonts w:cs="Times New Roman" w:hAnsi="Times New Roman" w:eastAsia="Times New Roman" w:ascii="Times New Roman"/>
          <w:b w:val="0"/>
          <w:color w:val="000000"/>
          <w:sz w:val="24"/>
          <w:vertAlign w:val="baseline"/>
          <w:rtl w:val="0"/>
        </w:rPr>
        <w:t xml:space="preserve"> et ensuite soumises à l’ensemble des auditeurs afin de permettre l’échange.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Les interventions écrites pourront être rédigées en anglais, italien, français et allemand et la rencontre se tiendra en anglais et italien avec traduction simultanée. Les participants envoyant une intervention dans une autre langue que l’anglais et/ou l’italien devront joindre un résumé de trois pages. Comme ces dernières années, une sélection des interventions sera ensuite publiée en langue anglaise.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bookmarkStart w:id="0" w:colFirst="0" w:name="h.gjdgxs" w:colLast="0"/>
      <w:bookmarkEnd w:id="0"/>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Les personnes souhaitant participer doivent adresser un abstract de 300 mots en anglais ou en italien accompagné d’un CV succinct avant le 30 </w:t>
      </w:r>
      <w:r w:rsidRPr="00000000" w:rsidR="00000000" w:rsidDel="00000000">
        <w:rPr>
          <w:rFonts w:cs="Times New Roman" w:hAnsi="Times New Roman" w:eastAsia="Times New Roman" w:ascii="Times New Roman"/>
          <w:sz w:val="24"/>
          <w:rtl w:val="0"/>
        </w:rPr>
        <w:t xml:space="preserve">novembre</w:t>
      </w:r>
      <w:r w:rsidRPr="00000000" w:rsidR="00000000" w:rsidDel="00000000">
        <w:rPr>
          <w:rFonts w:cs="Times New Roman" w:hAnsi="Times New Roman" w:eastAsia="Times New Roman" w:ascii="Times New Roman"/>
          <w:b w:val="0"/>
          <w:color w:val="000000"/>
          <w:sz w:val="24"/>
          <w:vertAlign w:val="baseline"/>
          <w:rtl w:val="0"/>
        </w:rPr>
        <w:t xml:space="preserve"> 2014 à l’adresse électronique suivante : </w:t>
      </w:r>
      <w:hyperlink r:id="rId5">
        <w:r w:rsidRPr="00000000" w:rsidR="00000000" w:rsidDel="00000000">
          <w:rPr>
            <w:rFonts w:cs="Times New Roman" w:hAnsi="Times New Roman" w:eastAsia="Times New Roman" w:ascii="Times New Roman"/>
            <w:b w:val="1"/>
            <w:color w:val="000000"/>
            <w:sz w:val="24"/>
            <w:u w:val="single"/>
            <w:vertAlign w:val="baseline"/>
            <w:rtl w:val="0"/>
          </w:rPr>
          <w:t xml:space="preserve">landscapesofwar@gmail.com</w:t>
        </w:r>
      </w:hyperlink>
      <w:r w:rsidRPr="00000000" w:rsidR="00000000" w:rsidDel="00000000">
        <w:rPr>
          <w:rFonts w:cs="Times New Roman" w:hAnsi="Times New Roman" w:eastAsia="Times New Roman" w:ascii="Times New Roman"/>
          <w:b w:val="0"/>
          <w:sz w:val="24"/>
          <w:vertAlign w:val="baseline"/>
          <w:rtl w:val="0"/>
        </w:rPr>
        <w:t xml:space="preserve">. </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sz w:val="24"/>
          <w:vertAlign w:val="baseline"/>
          <w:rtl w:val="0"/>
        </w:rPr>
        <w:t xml:space="preserve">Les chercheurs retenus seront informés de leur sélection en janvier 2015, ils devront ensuite adresser leur intervention écrite au plus tard le 30 juin 2015.</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Le premier jour, la rencontre se tiendra auprès de la Fondation Bruno Kessler, à Trente, et le troisième jour, auprès de l’Université de Padoue, les déplacements et visite des hauts plateaux d’Asiago prévus durant la journée intermédiaire se feront en car. Tous les participants enregisté(e)s bénéficieront de la gratuité du transfert. Les informations concernant l’hébergement à Trente (première nuit) et à Padoue (deuxième nuit) seront communiquées à partir de janvier 2015 aux personnes s’étant inscrites à la conférence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Un nombre limité de remboursements pour les frais de voyage et de séjour devraient vraisemblablement être disponibles pour les chercheurs ne bénéficiant pas de soutien de la part de leur institution de provenance. Il est demandé de signaler cette éventualité dès la présentation du projet de participation et d’intervention.</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jc w:val="both"/>
      </w:pPr>
      <w:r w:rsidRPr="00000000" w:rsidR="00000000" w:rsidDel="00000000">
        <w:rPr>
          <w:rFonts w:cs="Times New Roman" w:hAnsi="Times New Roman" w:eastAsia="Times New Roman" w:ascii="Times New Roman"/>
          <w:b w:val="0"/>
          <w:color w:val="000000"/>
          <w:sz w:val="24"/>
          <w:vertAlign w:val="baseline"/>
          <w:rtl w:val="0"/>
        </w:rPr>
        <w:t xml:space="preserve">Pour plus d’informations, prière de contacter : </w:t>
      </w:r>
      <w:hyperlink r:id="rId6">
        <w:r w:rsidRPr="00000000" w:rsidR="00000000" w:rsidDel="00000000">
          <w:rPr>
            <w:rFonts w:cs="Times New Roman" w:hAnsi="Times New Roman" w:eastAsia="Times New Roman" w:ascii="Times New Roman"/>
            <w:b w:val="0"/>
            <w:color w:val="000000"/>
            <w:sz w:val="24"/>
            <w:u w:val="single"/>
            <w:vertAlign w:val="baseline"/>
            <w:rtl w:val="0"/>
          </w:rPr>
          <w:t xml:space="preserve">landscapesofwar@gmail.com</w:t>
        </w:r>
      </w:hyperlink>
      <w:hyperlink r:id="rId7">
        <w:r w:rsidRPr="00000000" w:rsidR="00000000" w:rsidDel="00000000">
          <w:rPr>
            <w:rtl w:val="0"/>
          </w:rPr>
        </w:r>
      </w:hyperlink>
    </w:p>
    <w:p w:rsidP="00000000" w:rsidRPr="00000000" w:rsidR="00000000" w:rsidDel="00000000" w:rsidRDefault="00000000">
      <w:pPr>
        <w:widowControl w:val="0"/>
        <w:spacing w:lineRule="auto" w:after="0" w:line="240" w:before="0"/>
        <w:ind w:left="0" w:firstLine="0"/>
        <w:contextualSpacing w:val="0"/>
      </w:pPr>
      <w:hyperlink r:id="rId8">
        <w:r w:rsidRPr="00000000" w:rsidR="00000000" w:rsidDel="00000000">
          <w:rPr>
            <w:rtl w:val="0"/>
          </w:rPr>
        </w:r>
      </w:hyperlink>
    </w:p>
    <w:p w:rsidP="00000000" w:rsidRPr="00000000" w:rsidR="00000000" w:rsidDel="00000000" w:rsidRDefault="00000000">
      <w:pPr>
        <w:widowControl w:val="0"/>
        <w:spacing w:lineRule="auto" w:after="0" w:line="240" w:before="0"/>
        <w:ind w:left="0" w:firstLine="0"/>
        <w:contextualSpacing w:val="0"/>
      </w:pPr>
      <w:hyperlink r:id="rId9">
        <w:r w:rsidRPr="00000000" w:rsidR="00000000" w:rsidDel="00000000">
          <w:rPr>
            <w:rtl w:val="0"/>
          </w:rPr>
        </w:r>
      </w:hyperlink>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0"/>
          <w:sz w:val="24"/>
          <w:vertAlign w:val="baseline"/>
          <w:rtl w:val="0"/>
        </w:rPr>
        <w:t xml:space="preserve">Comité d’organisation :</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0"/>
          <w:sz w:val="24"/>
          <w:vertAlign w:val="baseline"/>
          <w:rtl w:val="0"/>
        </w:rPr>
        <w:t xml:space="preserve">Roberto Bianchi (Università degli Studi de Florence)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0"/>
          <w:sz w:val="24"/>
          <w:vertAlign w:val="baseline"/>
          <w:rtl w:val="0"/>
        </w:rPr>
        <w:t xml:space="preserve">Selena Daly (University College Dublin)</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0"/>
          <w:sz w:val="24"/>
          <w:vertAlign w:val="baseline"/>
          <w:rtl w:val="0"/>
        </w:rPr>
        <w:t xml:space="preserve">Marco Mondini (Fondazione Bruno Kessler Trente, Università degli Studi de Padoue)</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0"/>
          <w:sz w:val="24"/>
          <w:vertAlign w:val="baseline"/>
          <w:rtl w:val="0"/>
        </w:rPr>
        <w:t xml:space="preserve">Martina Salvante (Centro interuniversitario di studi e ricerche storico-militari)</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Fonts w:cs="Times New Roman" w:hAnsi="Times New Roman" w:eastAsia="Times New Roman" w:ascii="Times New Roman"/>
          <w:b w:val="0"/>
          <w:sz w:val="24"/>
          <w:vertAlign w:val="baseline"/>
          <w:rtl w:val="0"/>
        </w:rPr>
        <w:t xml:space="preserve">Vanda Wilcox (John Cabot University, Rome). </w:t>
      </w: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bookmarkStart w:id="1" w:colFirst="0" w:name="h.30j0zll" w:colLast="0"/>
      <w:bookmarkEnd w:id="1"/>
      <w:r w:rsidRPr="00000000" w:rsidR="00000000" w:rsidDel="00000000">
        <w:rPr>
          <w:rtl w:val="0"/>
        </w:rPr>
      </w:r>
    </w:p>
    <w:p w:rsidP="00000000" w:rsidRPr="00000000" w:rsidR="00000000" w:rsidDel="00000000" w:rsidRDefault="00000000">
      <w:pPr>
        <w:widowControl w:val="0"/>
        <w:spacing w:lineRule="auto" w:after="0" w:line="240" w:before="0"/>
        <w:ind w:left="0" w:firstLine="0"/>
        <w:contextualSpacing w:val="0"/>
      </w:pPr>
      <w:r w:rsidRPr="00000000" w:rsidR="00000000" w:rsidDel="00000000">
        <w:rPr>
          <w:rtl w:val="0"/>
        </w:rPr>
      </w:r>
    </w:p>
    <w:sectPr>
      <w:pgSz w:w="11900" w:h="16840"/>
      <w:pgMar w:left="1800" w:right="180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919"/>
      <w:numFmt w:val="bullet"/>
      <w:lvlText w:val="-"/>
      <w:lvlJc w:val="left"/>
      <w:pPr>
        <w:ind w:left="720" w:firstLine="360"/>
      </w:pPr>
      <w:rPr>
        <w:rFonts w:cs="Arial" w:hAnsi="Arial" w:eastAsia="Arial" w:ascii="Arial"/>
        <w:vertAlign w:val="baseline"/>
      </w:rPr>
    </w:lvl>
    <w:lvl w:ilvl="1">
      <w:start w:val="1"/>
      <w:numFmt w:val="bullet"/>
      <w:lvlText w:val="o"/>
      <w:lvlJc w:val="left"/>
      <w:pPr>
        <w:ind w:left="1440" w:firstLine="1080"/>
      </w:pPr>
      <w:rPr>
        <w:rFonts w:cs="Arial" w:hAnsi="Arial" w:eastAsia="Arial" w:ascii="Arial"/>
        <w:vertAlign w:val="baseline"/>
      </w:rPr>
    </w:lvl>
    <w:lvl w:ilvl="2">
      <w:start w:val="1"/>
      <w:numFmt w:val="bullet"/>
      <w:lvlText w:val="▪"/>
      <w:lvlJc w:val="left"/>
      <w:pPr>
        <w:ind w:left="2160" w:firstLine="1800"/>
      </w:pPr>
      <w:rPr>
        <w:rFonts w:cs="Arial" w:hAnsi="Arial" w:eastAsia="Arial" w:ascii="Arial"/>
        <w:vertAlign w:val="baseline"/>
      </w:rPr>
    </w:lvl>
    <w:lvl w:ilvl="3">
      <w:start w:val="1"/>
      <w:numFmt w:val="bullet"/>
      <w:lvlText w:val="●"/>
      <w:lvlJc w:val="left"/>
      <w:pPr>
        <w:ind w:left="2880" w:firstLine="2520"/>
      </w:pPr>
      <w:rPr>
        <w:rFonts w:cs="Arial" w:hAnsi="Arial" w:eastAsia="Arial" w:ascii="Arial"/>
        <w:vertAlign w:val="baseline"/>
      </w:rPr>
    </w:lvl>
    <w:lvl w:ilvl="4">
      <w:start w:val="1"/>
      <w:numFmt w:val="bullet"/>
      <w:lvlText w:val="o"/>
      <w:lvlJc w:val="left"/>
      <w:pPr>
        <w:ind w:left="3600" w:firstLine="3240"/>
      </w:pPr>
      <w:rPr>
        <w:rFonts w:cs="Arial" w:hAnsi="Arial" w:eastAsia="Arial" w:ascii="Arial"/>
        <w:vertAlign w:val="baseline"/>
      </w:rPr>
    </w:lvl>
    <w:lvl w:ilvl="5">
      <w:start w:val="1"/>
      <w:numFmt w:val="bullet"/>
      <w:lvlText w:val="▪"/>
      <w:lvlJc w:val="left"/>
      <w:pPr>
        <w:ind w:left="4320" w:firstLine="3960"/>
      </w:pPr>
      <w:rPr>
        <w:rFonts w:cs="Arial" w:hAnsi="Arial" w:eastAsia="Arial" w:ascii="Arial"/>
        <w:vertAlign w:val="baseline"/>
      </w:rPr>
    </w:lvl>
    <w:lvl w:ilvl="6">
      <w:start w:val="1"/>
      <w:numFmt w:val="bullet"/>
      <w:lvlText w:val="●"/>
      <w:lvlJc w:val="left"/>
      <w:pPr>
        <w:ind w:left="5040" w:firstLine="4680"/>
      </w:pPr>
      <w:rPr>
        <w:rFonts w:cs="Arial" w:hAnsi="Arial" w:eastAsia="Arial" w:ascii="Arial"/>
        <w:vertAlign w:val="baseline"/>
      </w:rPr>
    </w:lvl>
    <w:lvl w:ilvl="7">
      <w:start w:val="1"/>
      <w:numFmt w:val="bullet"/>
      <w:lvlText w:val="o"/>
      <w:lvlJc w:val="left"/>
      <w:pPr>
        <w:ind w:left="5760" w:firstLine="5400"/>
      </w:pPr>
      <w:rPr>
        <w:rFonts w:cs="Arial" w:hAnsi="Arial" w:eastAsia="Arial" w:ascii="Arial"/>
        <w:vertAlign w:val="baseline"/>
      </w:rPr>
    </w:lvl>
    <w:lvl w:ilvl="8">
      <w:start w:val="1"/>
      <w:numFmt w:val="bullet"/>
      <w:lvlText w:val="▪"/>
      <w:lvlJc w:val="left"/>
      <w:pPr>
        <w:ind w:left="6480" w:firstLine="6120"/>
      </w:pPr>
      <w:rPr>
        <w:rFonts w:cs="Arial" w:hAnsi="Arial" w:eastAsia="Arial" w:asci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120" w:before="480"/>
      <w:contextualSpacing w:val="1"/>
    </w:pPr>
    <w:rPr>
      <w:b w:val="1"/>
      <w:sz w:val="48"/>
    </w:rPr>
  </w:style>
  <w:style w:styleId="Heading2" w:type="paragraph">
    <w:name w:val="heading 2"/>
    <w:basedOn w:val="Normal"/>
    <w:next w:val="Normal"/>
    <w:pPr>
      <w:keepNext w:val="1"/>
      <w:keepLines w:val="1"/>
      <w:spacing w:lineRule="auto" w:after="80" w:before="360"/>
      <w:contextualSpacing w:val="1"/>
    </w:pPr>
    <w:rPr>
      <w:b w:val="1"/>
      <w:sz w:val="36"/>
    </w:rPr>
  </w:style>
  <w:style w:styleId="Heading3" w:type="paragraph">
    <w:name w:val="heading 3"/>
    <w:basedOn w:val="Normal"/>
    <w:next w:val="Normal"/>
    <w:pPr>
      <w:keepNext w:val="1"/>
      <w:keepLines w:val="1"/>
      <w:spacing w:lineRule="auto" w:after="80" w:before="280"/>
      <w:contextualSpacing w:val="1"/>
    </w:pPr>
    <w:rPr>
      <w:b w:val="1"/>
      <w:sz w:val="28"/>
    </w:rPr>
  </w:style>
  <w:style w:styleId="Heading4" w:type="paragraph">
    <w:name w:val="heading 4"/>
    <w:basedOn w:val="Normal"/>
    <w:next w:val="Normal"/>
    <w:pPr>
      <w:keepNext w:val="1"/>
      <w:keepLines w:val="1"/>
      <w:spacing w:lineRule="auto" w:after="40" w:before="240"/>
      <w:contextualSpacing w:val="1"/>
    </w:pPr>
    <w:rPr>
      <w:b w:val="1"/>
      <w:sz w:val="24"/>
    </w:rPr>
  </w:style>
  <w:style w:styleId="Heading5" w:type="paragraph">
    <w:name w:val="heading 5"/>
    <w:basedOn w:val="Normal"/>
    <w:next w:val="Normal"/>
    <w:pPr>
      <w:keepNext w:val="1"/>
      <w:keepLines w:val="1"/>
      <w:spacing w:lineRule="auto" w:after="40" w:before="220"/>
      <w:contextualSpacing w:val="1"/>
    </w:pPr>
    <w:rPr>
      <w:b w:val="1"/>
      <w:sz w:val="22"/>
    </w:rPr>
  </w:style>
  <w:style w:styleId="Heading6" w:type="paragraph">
    <w:name w:val="heading 6"/>
    <w:basedOn w:val="Normal"/>
    <w:next w:val="Normal"/>
    <w:pPr>
      <w:keepNext w:val="1"/>
      <w:keepLines w:val="1"/>
      <w:spacing w:lineRule="auto" w:after="40" w:before="200"/>
      <w:contextualSpacing w:val="1"/>
    </w:pPr>
    <w:rPr>
      <w:b w:val="1"/>
      <w:sz w:val="20"/>
    </w:rPr>
  </w:style>
  <w:style w:styleId="Title" w:type="paragraph">
    <w:name w:val="Title"/>
    <w:basedOn w:val="Normal"/>
    <w:next w:val="Normal"/>
    <w:pPr>
      <w:keepNext w:val="1"/>
      <w:keepLines w:val="1"/>
      <w:spacing w:lineRule="auto" w:after="120" w:before="480"/>
      <w:contextualSpacing w:val="1"/>
    </w:pPr>
    <w:rPr>
      <w:b w:val="1"/>
      <w:sz w:val="72"/>
    </w:rPr>
  </w:style>
  <w:style w:styleId="Subtitle" w:type="paragraph">
    <w:name w:val="Subtitle"/>
    <w:basedOn w:val="Normal"/>
    <w:next w:val="Normal"/>
    <w:pPr>
      <w:keepNext w:val="1"/>
      <w:keepLines w:val="1"/>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ailto:landscapesofwar@gmail.com" Type="http://schemas.openxmlformats.org/officeDocument/2006/relationships/hyperlink" TargetMode="External" Id="rId9"/><Relationship Target="mailto:landscapesofwar@gmail.com" Type="http://schemas.openxmlformats.org/officeDocument/2006/relationships/hyperlink" TargetMode="External" Id="rId6"/><Relationship Target="mailto:landscapesofwar@gmail.com" Type="http://schemas.openxmlformats.org/officeDocument/2006/relationships/hyperlink" TargetMode="External" Id="rId5"/><Relationship Target="mailto:landscapesofwar@gmail.com" Type="http://schemas.openxmlformats.org/officeDocument/2006/relationships/hyperlink" TargetMode="External" Id="rId8"/><Relationship Target="mailto:landscapesofwar@gmail.com" Type="http://schemas.openxmlformats.org/officeDocument/2006/relationships/hyperlink" TargetMode="External"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Français_02.docx</dc:title>
</cp:coreProperties>
</file>